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8"/>
        <w:gridCol w:w="4860"/>
        <w:gridCol w:w="2448"/>
      </w:tblGrid>
      <w:tr w:rsidR="00EB7A55" w:rsidRPr="008C636C" w:rsidTr="00902685">
        <w:tc>
          <w:tcPr>
            <w:tcW w:w="2268" w:type="dxa"/>
            <w:tcBorders>
              <w:top w:val="nil"/>
              <w:left w:val="nil"/>
              <w:bottom w:val="nil"/>
              <w:right w:val="nil"/>
            </w:tcBorders>
          </w:tcPr>
          <w:p w:rsidR="00EB7A55" w:rsidRDefault="00EB7A55" w:rsidP="006C7EE8">
            <w:pPr>
              <w:pStyle w:val="Header"/>
              <w:tabs>
                <w:tab w:val="clear" w:pos="4680"/>
                <w:tab w:val="clear" w:pos="9360"/>
                <w:tab w:val="center" w:pos="2088"/>
              </w:tabs>
            </w:pPr>
          </w:p>
        </w:tc>
        <w:tc>
          <w:tcPr>
            <w:tcW w:w="4860" w:type="dxa"/>
            <w:tcBorders>
              <w:top w:val="nil"/>
              <w:left w:val="nil"/>
              <w:bottom w:val="nil"/>
              <w:right w:val="nil"/>
            </w:tcBorders>
          </w:tcPr>
          <w:p w:rsidR="00EB7A55" w:rsidRDefault="00902685" w:rsidP="00902685">
            <w:pPr>
              <w:autoSpaceDE w:val="0"/>
              <w:autoSpaceDN w:val="0"/>
              <w:adjustRightInd w:val="0"/>
              <w:jc w:val="center"/>
            </w:pPr>
            <w:r w:rsidRPr="00486B2F">
              <w:rPr>
                <w:noProof/>
                <w:sz w:val="24"/>
                <w:szCs w:val="24"/>
              </w:rPr>
              <w:drawing>
                <wp:inline distT="0" distB="0" distL="0" distR="0" wp14:anchorId="57A011D1" wp14:editId="32D874B7">
                  <wp:extent cx="923925" cy="866775"/>
                  <wp:effectExtent l="0" t="0" r="9525" b="9525"/>
                  <wp:docPr id="2" name="Picture 2" descr="C:\Users\gvega\AppData\Local\Temp\BC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vega\AppData\Local\Temp\BC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436" cy="868193"/>
                          </a:xfrm>
                          <a:prstGeom prst="rect">
                            <a:avLst/>
                          </a:prstGeom>
                          <a:noFill/>
                          <a:ln>
                            <a:noFill/>
                          </a:ln>
                        </pic:spPr>
                      </pic:pic>
                    </a:graphicData>
                  </a:graphic>
                </wp:inline>
              </w:drawing>
            </w:r>
          </w:p>
          <w:p w:rsidR="00902685" w:rsidRDefault="00902685" w:rsidP="00902685">
            <w:pPr>
              <w:autoSpaceDE w:val="0"/>
              <w:autoSpaceDN w:val="0"/>
              <w:adjustRightInd w:val="0"/>
              <w:jc w:val="center"/>
              <w:rPr>
                <w:rFonts w:ascii="Minion-DisplayRegular" w:hAnsi="Minion-DisplayRegular" w:cs="Minion-DisplayRegular"/>
                <w:b/>
                <w:color w:val="943634" w:themeColor="accent2" w:themeShade="BF"/>
                <w:sz w:val="56"/>
                <w:szCs w:val="56"/>
              </w:rPr>
            </w:pPr>
            <w:r w:rsidRPr="00EB6411">
              <w:rPr>
                <w:rFonts w:ascii="Minion-DisplayRegular" w:hAnsi="Minion-DisplayRegular" w:cs="Minion-DisplayRegular"/>
                <w:b/>
                <w:color w:val="943634" w:themeColor="accent2" w:themeShade="BF"/>
                <w:sz w:val="56"/>
                <w:szCs w:val="56"/>
              </w:rPr>
              <w:t>Boricua College</w:t>
            </w:r>
          </w:p>
          <w:p w:rsidR="005A3A98" w:rsidRPr="005A3A98" w:rsidRDefault="005A3A98" w:rsidP="00902685">
            <w:pPr>
              <w:autoSpaceDE w:val="0"/>
              <w:autoSpaceDN w:val="0"/>
              <w:adjustRightInd w:val="0"/>
              <w:jc w:val="center"/>
              <w:rPr>
                <w:rFonts w:ascii="Minion-DisplayRegular" w:hAnsi="Minion-DisplayRegular" w:cs="Minion-DisplayRegular"/>
                <w:color w:val="943634" w:themeColor="accent2" w:themeShade="BF"/>
                <w:sz w:val="16"/>
                <w:szCs w:val="16"/>
              </w:rPr>
            </w:pPr>
          </w:p>
          <w:p w:rsidR="00902685" w:rsidRPr="00EE5B25" w:rsidRDefault="00902685" w:rsidP="00EE5B25">
            <w:pPr>
              <w:autoSpaceDE w:val="0"/>
              <w:autoSpaceDN w:val="0"/>
              <w:adjustRightInd w:val="0"/>
              <w:jc w:val="center"/>
              <w:rPr>
                <w:rFonts w:ascii="Minion-Semibold" w:hAnsi="Minion-Semibold" w:cs="Minion-Semibold"/>
                <w:b/>
                <w:bCs/>
                <w:color w:val="943634" w:themeColor="accent2" w:themeShade="BF"/>
                <w:sz w:val="24"/>
                <w:szCs w:val="24"/>
              </w:rPr>
            </w:pPr>
            <w:r w:rsidRPr="00972DC6">
              <w:rPr>
                <w:rFonts w:ascii="Minion-Semibold" w:hAnsi="Minion-Semibold" w:cs="Minion-Semibold"/>
                <w:b/>
                <w:bCs/>
                <w:color w:val="943634" w:themeColor="accent2" w:themeShade="BF"/>
                <w:sz w:val="24"/>
                <w:szCs w:val="24"/>
              </w:rPr>
              <w:t>A TRADITION OF LEARNING</w:t>
            </w:r>
          </w:p>
        </w:tc>
        <w:tc>
          <w:tcPr>
            <w:tcW w:w="2448" w:type="dxa"/>
            <w:tcBorders>
              <w:top w:val="nil"/>
              <w:left w:val="nil"/>
              <w:bottom w:val="nil"/>
              <w:right w:val="nil"/>
            </w:tcBorders>
          </w:tcPr>
          <w:p w:rsidR="00EB7A55" w:rsidRPr="008C636C" w:rsidRDefault="00EB7A55" w:rsidP="00EB7A55">
            <w:pPr>
              <w:autoSpaceDE w:val="0"/>
              <w:autoSpaceDN w:val="0"/>
              <w:adjustRightInd w:val="0"/>
              <w:jc w:val="right"/>
              <w:rPr>
                <w:rFonts w:ascii="Minion-Semibold" w:hAnsi="Minion-Semibold" w:cs="Minion-Semibold"/>
                <w:b/>
                <w:bCs/>
                <w:color w:val="943634" w:themeColor="accent2" w:themeShade="BF"/>
              </w:rPr>
            </w:pPr>
            <w:r>
              <w:rPr>
                <w:rFonts w:ascii="Minion-DisplayRegular" w:hAnsi="Minion-DisplayRegular" w:cs="Minion-DisplayRegular"/>
                <w:b/>
                <w:color w:val="943634" w:themeColor="accent2" w:themeShade="BF"/>
                <w:sz w:val="40"/>
                <w:szCs w:val="40"/>
              </w:rPr>
              <w:t xml:space="preserve">         </w:t>
            </w:r>
          </w:p>
        </w:tc>
      </w:tr>
    </w:tbl>
    <w:p w:rsidR="00E73BDA" w:rsidRDefault="00E73BDA"/>
    <w:p w:rsidR="005A3A98" w:rsidRDefault="005A3A98"/>
    <w:p w:rsidR="00FF1EA8" w:rsidRPr="005A3A98" w:rsidRDefault="00FF1EA8" w:rsidP="008B6611">
      <w:pPr>
        <w:spacing w:after="0" w:line="240" w:lineRule="auto"/>
        <w:rPr>
          <w:rStyle w:val="markedcontent"/>
          <w:rFonts w:ascii="Arial" w:hAnsi="Arial" w:cs="Arial"/>
          <w:sz w:val="28"/>
          <w:szCs w:val="28"/>
        </w:rPr>
      </w:pPr>
      <w:r w:rsidRPr="005A3A98">
        <w:rPr>
          <w:rStyle w:val="markedcontent"/>
          <w:rFonts w:ascii="Arial" w:hAnsi="Arial" w:cs="Arial"/>
          <w:sz w:val="28"/>
          <w:szCs w:val="28"/>
        </w:rPr>
        <w:t xml:space="preserve">Boricua College (BC) is a private not-for-profit four-year college chartered by the New York State Board of Regents to grant associate, bachelors, and master degrees with programs authorized by the New York State Education Department.  Boricua College is an </w:t>
      </w:r>
      <w:r w:rsidR="008D306C" w:rsidRPr="005A3A98">
        <w:rPr>
          <w:rStyle w:val="markedcontent"/>
          <w:rFonts w:ascii="Arial" w:hAnsi="Arial" w:cs="Arial"/>
          <w:sz w:val="28"/>
          <w:szCs w:val="28"/>
        </w:rPr>
        <w:t>accredited institution and a member of the</w:t>
      </w:r>
      <w:r w:rsidR="008B6611" w:rsidRPr="005A3A98">
        <w:rPr>
          <w:rStyle w:val="markedcontent"/>
          <w:rFonts w:ascii="Arial" w:hAnsi="Arial" w:cs="Arial"/>
          <w:sz w:val="28"/>
          <w:szCs w:val="28"/>
        </w:rPr>
        <w:t xml:space="preserve"> </w:t>
      </w:r>
      <w:r w:rsidR="00E73BDA" w:rsidRPr="005A3A98">
        <w:rPr>
          <w:rStyle w:val="markedcontent"/>
          <w:rFonts w:ascii="Arial" w:hAnsi="Arial" w:cs="Arial"/>
          <w:sz w:val="28"/>
          <w:szCs w:val="28"/>
        </w:rPr>
        <w:t>Middle States Commission on Higher Education</w:t>
      </w:r>
      <w:r w:rsidR="00E73BDA" w:rsidRPr="005A3A98">
        <w:rPr>
          <w:rFonts w:ascii="Arial" w:hAnsi="Arial" w:cs="Arial"/>
          <w:sz w:val="28"/>
          <w:szCs w:val="28"/>
        </w:rPr>
        <w:t xml:space="preserve"> </w:t>
      </w:r>
      <w:r w:rsidRPr="005A3A98">
        <w:rPr>
          <w:rStyle w:val="markedcontent"/>
          <w:rFonts w:ascii="Arial" w:hAnsi="Arial" w:cs="Arial"/>
          <w:sz w:val="28"/>
          <w:szCs w:val="28"/>
        </w:rPr>
        <w:t>(MSCHE).</w:t>
      </w:r>
    </w:p>
    <w:p w:rsidR="00FF1EA8" w:rsidRPr="005A3A98" w:rsidRDefault="00FF1EA8" w:rsidP="00F161A4">
      <w:pPr>
        <w:spacing w:after="0" w:line="240" w:lineRule="auto"/>
        <w:jc w:val="both"/>
        <w:rPr>
          <w:rStyle w:val="markedcontent"/>
          <w:rFonts w:ascii="Arial" w:hAnsi="Arial" w:cs="Arial"/>
          <w:sz w:val="28"/>
          <w:szCs w:val="28"/>
        </w:rPr>
      </w:pPr>
    </w:p>
    <w:p w:rsidR="008B6611" w:rsidRPr="005A3A98" w:rsidRDefault="00FF1EA8" w:rsidP="00FF1EA8">
      <w:pPr>
        <w:spacing w:after="0" w:line="240" w:lineRule="auto"/>
        <w:rPr>
          <w:rStyle w:val="markedcontent"/>
          <w:rFonts w:ascii="Arial" w:hAnsi="Arial" w:cs="Arial"/>
          <w:sz w:val="28"/>
          <w:szCs w:val="28"/>
        </w:rPr>
      </w:pPr>
      <w:r w:rsidRPr="005A3A98">
        <w:rPr>
          <w:rStyle w:val="markedcontent"/>
          <w:rFonts w:ascii="Arial" w:hAnsi="Arial" w:cs="Arial"/>
          <w:sz w:val="28"/>
          <w:szCs w:val="28"/>
        </w:rPr>
        <w:t>MSCHE is an institutional accrediting agency recognized by the U.S.</w:t>
      </w:r>
      <w:r w:rsidRPr="005A3A98">
        <w:rPr>
          <w:rFonts w:ascii="Arial" w:hAnsi="Arial" w:cs="Arial"/>
          <w:sz w:val="28"/>
          <w:szCs w:val="28"/>
        </w:rPr>
        <w:t xml:space="preserve"> </w:t>
      </w:r>
      <w:r w:rsidRPr="005A3A98">
        <w:rPr>
          <w:rStyle w:val="markedcontent"/>
          <w:rFonts w:ascii="Arial" w:hAnsi="Arial" w:cs="Arial"/>
          <w:sz w:val="28"/>
          <w:szCs w:val="28"/>
        </w:rPr>
        <w:t>Secretary of Education and the Council for Higher Education</w:t>
      </w:r>
      <w:r w:rsidRPr="005A3A98">
        <w:rPr>
          <w:rFonts w:ascii="Arial" w:hAnsi="Arial" w:cs="Arial"/>
          <w:sz w:val="28"/>
          <w:szCs w:val="28"/>
        </w:rPr>
        <w:t xml:space="preserve"> </w:t>
      </w:r>
      <w:r w:rsidRPr="005A3A98">
        <w:rPr>
          <w:rStyle w:val="markedcontent"/>
          <w:rFonts w:ascii="Arial" w:hAnsi="Arial" w:cs="Arial"/>
          <w:sz w:val="28"/>
          <w:szCs w:val="28"/>
        </w:rPr>
        <w:t xml:space="preserve">Accreditation (CHEA).  </w:t>
      </w:r>
    </w:p>
    <w:p w:rsidR="008B6611" w:rsidRPr="005A3A98" w:rsidRDefault="008B6611" w:rsidP="00FF1EA8">
      <w:pPr>
        <w:spacing w:after="0" w:line="240" w:lineRule="auto"/>
        <w:rPr>
          <w:rStyle w:val="markedcontent"/>
          <w:rFonts w:ascii="Arial" w:hAnsi="Arial" w:cs="Arial"/>
          <w:sz w:val="28"/>
          <w:szCs w:val="28"/>
        </w:rPr>
      </w:pPr>
    </w:p>
    <w:p w:rsidR="008B6611" w:rsidRPr="005A3A98" w:rsidRDefault="008B6611" w:rsidP="008B6611">
      <w:pPr>
        <w:spacing w:after="0" w:line="240" w:lineRule="auto"/>
        <w:rPr>
          <w:rStyle w:val="markedcontent"/>
          <w:rFonts w:ascii="Arial" w:hAnsi="Arial" w:cs="Arial"/>
          <w:sz w:val="28"/>
          <w:szCs w:val="28"/>
        </w:rPr>
      </w:pPr>
      <w:r w:rsidRPr="005A3A98">
        <w:rPr>
          <w:rStyle w:val="markedcontent"/>
          <w:rFonts w:ascii="Arial" w:hAnsi="Arial" w:cs="Arial"/>
          <w:sz w:val="28"/>
          <w:szCs w:val="28"/>
        </w:rPr>
        <w:t>The</w:t>
      </w:r>
      <w:r w:rsidRPr="005A3A98">
        <w:rPr>
          <w:rFonts w:ascii="Arial" w:hAnsi="Arial" w:cs="Arial"/>
          <w:sz w:val="28"/>
          <w:szCs w:val="28"/>
        </w:rPr>
        <w:t xml:space="preserve"> </w:t>
      </w:r>
      <w:r w:rsidRPr="005A3A98">
        <w:rPr>
          <w:rStyle w:val="markedcontent"/>
          <w:rFonts w:ascii="Arial" w:hAnsi="Arial" w:cs="Arial"/>
          <w:sz w:val="28"/>
          <w:szCs w:val="28"/>
        </w:rPr>
        <w:t>Commission’s most recent action</w:t>
      </w:r>
      <w:r w:rsidR="005A3A98" w:rsidRPr="005A3A98">
        <w:rPr>
          <w:rStyle w:val="markedcontent"/>
          <w:rFonts w:ascii="Arial" w:hAnsi="Arial" w:cs="Arial"/>
          <w:sz w:val="28"/>
          <w:szCs w:val="28"/>
        </w:rPr>
        <w:t xml:space="preserve"> on Boricua College’s </w:t>
      </w:r>
      <w:r w:rsidRPr="005A3A98">
        <w:rPr>
          <w:rStyle w:val="markedcontent"/>
          <w:rFonts w:ascii="Arial" w:hAnsi="Arial" w:cs="Arial"/>
          <w:sz w:val="28"/>
          <w:szCs w:val="28"/>
        </w:rPr>
        <w:t>accreditation</w:t>
      </w:r>
      <w:r w:rsidRPr="005A3A98">
        <w:rPr>
          <w:rFonts w:ascii="Arial" w:hAnsi="Arial" w:cs="Arial"/>
          <w:sz w:val="28"/>
          <w:szCs w:val="28"/>
        </w:rPr>
        <w:t xml:space="preserve"> </w:t>
      </w:r>
      <w:r w:rsidRPr="005A3A98">
        <w:rPr>
          <w:rStyle w:val="markedcontent"/>
          <w:rFonts w:ascii="Arial" w:hAnsi="Arial" w:cs="Arial"/>
          <w:sz w:val="28"/>
          <w:szCs w:val="28"/>
        </w:rPr>
        <w:t xml:space="preserve">status on June 24, 2022 is Non-Compliance Warning.  Boricua College remains accredited while on warning and its Statement of Accreditation is maintained as noted on the </w:t>
      </w:r>
      <w:hyperlink r:id="rId6" w:history="1">
        <w:r w:rsidR="00087EAF" w:rsidRPr="00AE73F4">
          <w:rPr>
            <w:rStyle w:val="Hyperlink"/>
            <w:rFonts w:ascii="Arial" w:hAnsi="Arial" w:cs="Arial"/>
            <w:sz w:val="28"/>
            <w:szCs w:val="28"/>
          </w:rPr>
          <w:t>MSCHE</w:t>
        </w:r>
      </w:hyperlink>
      <w:r w:rsidR="005A3A98" w:rsidRPr="005A3A98">
        <w:rPr>
          <w:rStyle w:val="markedcontent"/>
          <w:rFonts w:ascii="Arial" w:hAnsi="Arial" w:cs="Arial"/>
          <w:sz w:val="28"/>
          <w:szCs w:val="28"/>
        </w:rPr>
        <w:t xml:space="preserve"> website.</w:t>
      </w:r>
      <w:bookmarkStart w:id="0" w:name="_GoBack"/>
      <w:bookmarkEnd w:id="0"/>
    </w:p>
    <w:p w:rsidR="00FF1EA8" w:rsidRDefault="00FF1EA8" w:rsidP="00FF1EA8">
      <w:pPr>
        <w:spacing w:after="0" w:line="240" w:lineRule="auto"/>
        <w:rPr>
          <w:rFonts w:ascii="Arial" w:hAnsi="Arial" w:cs="Arial"/>
          <w:sz w:val="28"/>
          <w:szCs w:val="28"/>
        </w:rPr>
      </w:pPr>
    </w:p>
    <w:tbl>
      <w:tblPr>
        <w:tblStyle w:val="TableGrid"/>
        <w:tblW w:w="10188" w:type="dxa"/>
        <w:tblLayout w:type="fixed"/>
        <w:tblLook w:val="04A0" w:firstRow="1" w:lastRow="0" w:firstColumn="1" w:lastColumn="0" w:noHBand="0" w:noVBand="1"/>
      </w:tblPr>
      <w:tblGrid>
        <w:gridCol w:w="6228"/>
        <w:gridCol w:w="3960"/>
      </w:tblGrid>
      <w:tr w:rsidR="00EE5B25" w:rsidTr="008B6611">
        <w:tc>
          <w:tcPr>
            <w:tcW w:w="6228" w:type="dxa"/>
            <w:tcBorders>
              <w:top w:val="nil"/>
              <w:left w:val="nil"/>
              <w:bottom w:val="nil"/>
              <w:right w:val="nil"/>
            </w:tcBorders>
          </w:tcPr>
          <w:p w:rsidR="00EE5B25" w:rsidRPr="005A3A98" w:rsidRDefault="008B6611" w:rsidP="008B6611">
            <w:pPr>
              <w:ind w:right="252"/>
              <w:rPr>
                <w:rStyle w:val="markedcontent"/>
                <w:rFonts w:ascii="Arial" w:hAnsi="Arial" w:cs="Arial"/>
                <w:sz w:val="28"/>
                <w:szCs w:val="28"/>
              </w:rPr>
            </w:pPr>
            <w:r w:rsidRPr="005A3A98">
              <w:rPr>
                <w:rStyle w:val="markedcontent"/>
                <w:rFonts w:ascii="Arial" w:hAnsi="Arial" w:cs="Arial"/>
                <w:sz w:val="28"/>
                <w:szCs w:val="28"/>
              </w:rPr>
              <w:t>Boricua College continues as a member in good standing of organizations dedicated to hi</w:t>
            </w:r>
            <w:r w:rsidR="005A3A98" w:rsidRPr="005A3A98">
              <w:rPr>
                <w:rStyle w:val="markedcontent"/>
                <w:rFonts w:ascii="Arial" w:hAnsi="Arial" w:cs="Arial"/>
                <w:sz w:val="28"/>
                <w:szCs w:val="28"/>
              </w:rPr>
              <w:t>gher educati</w:t>
            </w:r>
            <w:r w:rsidR="00E2523B">
              <w:rPr>
                <w:rStyle w:val="markedcontent"/>
                <w:rFonts w:ascii="Arial" w:hAnsi="Arial" w:cs="Arial"/>
                <w:sz w:val="28"/>
                <w:szCs w:val="28"/>
              </w:rPr>
              <w:t xml:space="preserve">on including, </w:t>
            </w:r>
            <w:r w:rsidR="005A3A98" w:rsidRPr="005A3A98">
              <w:rPr>
                <w:rStyle w:val="markedcontent"/>
                <w:rFonts w:ascii="Arial" w:hAnsi="Arial" w:cs="Arial"/>
                <w:sz w:val="28"/>
                <w:szCs w:val="28"/>
              </w:rPr>
              <w:t>NY State Commission on</w:t>
            </w:r>
            <w:r w:rsidRPr="005A3A98">
              <w:rPr>
                <w:rStyle w:val="markedcontent"/>
                <w:rFonts w:ascii="Arial" w:hAnsi="Arial" w:cs="Arial"/>
                <w:sz w:val="28"/>
                <w:szCs w:val="28"/>
              </w:rPr>
              <w:t xml:space="preserve"> Independent Coll</w:t>
            </w:r>
            <w:r w:rsidR="00E2523B">
              <w:rPr>
                <w:rStyle w:val="markedcontent"/>
                <w:rFonts w:ascii="Arial" w:hAnsi="Arial" w:cs="Arial"/>
                <w:sz w:val="28"/>
                <w:szCs w:val="28"/>
              </w:rPr>
              <w:t xml:space="preserve">eges and Universities, </w:t>
            </w:r>
            <w:r w:rsidRPr="005A3A98">
              <w:rPr>
                <w:rStyle w:val="markedcontent"/>
                <w:rFonts w:ascii="Arial" w:hAnsi="Arial" w:cs="Arial"/>
                <w:sz w:val="28"/>
                <w:szCs w:val="28"/>
              </w:rPr>
              <w:t>Association of Governing Board of Universities and Colleges, Hispanic</w:t>
            </w:r>
          </w:p>
        </w:tc>
        <w:tc>
          <w:tcPr>
            <w:tcW w:w="3960" w:type="dxa"/>
            <w:tcBorders>
              <w:top w:val="nil"/>
              <w:left w:val="nil"/>
              <w:bottom w:val="nil"/>
              <w:right w:val="nil"/>
            </w:tcBorders>
          </w:tcPr>
          <w:p w:rsidR="00EE5B25" w:rsidRDefault="008B6611" w:rsidP="00EE5B25">
            <w:pPr>
              <w:ind w:right="3600"/>
              <w:jc w:val="right"/>
              <w:rPr>
                <w:rStyle w:val="markedcontent"/>
                <w:rFonts w:ascii="Arial" w:hAnsi="Arial" w:cs="Arial"/>
                <w:sz w:val="28"/>
                <w:szCs w:val="28"/>
              </w:rPr>
            </w:pPr>
            <w:r>
              <w:rPr>
                <w:noProof/>
              </w:rPr>
              <w:drawing>
                <wp:inline distT="0" distB="0" distL="0" distR="0" wp14:anchorId="079EFBA1" wp14:editId="7927FECD">
                  <wp:extent cx="2392471" cy="1240077"/>
                  <wp:effectExtent l="0" t="0" r="0" b="0"/>
                  <wp:docPr id="1" name="Picture 1" descr="Middle States Commission on Hig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le States Commission on Higher Educ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1249072"/>
                          </a:xfrm>
                          <a:prstGeom prst="rect">
                            <a:avLst/>
                          </a:prstGeom>
                          <a:noFill/>
                          <a:ln>
                            <a:noFill/>
                          </a:ln>
                        </pic:spPr>
                      </pic:pic>
                    </a:graphicData>
                  </a:graphic>
                </wp:inline>
              </w:drawing>
            </w:r>
          </w:p>
        </w:tc>
      </w:tr>
    </w:tbl>
    <w:p w:rsidR="00FF1EA8" w:rsidRPr="005A3A98" w:rsidRDefault="00FF1EA8" w:rsidP="008B6611">
      <w:pPr>
        <w:tabs>
          <w:tab w:val="left" w:pos="9360"/>
        </w:tabs>
        <w:spacing w:after="0" w:line="240" w:lineRule="auto"/>
        <w:rPr>
          <w:rStyle w:val="markedcontent"/>
          <w:rFonts w:ascii="Arial" w:hAnsi="Arial" w:cs="Arial"/>
          <w:sz w:val="28"/>
          <w:szCs w:val="28"/>
        </w:rPr>
      </w:pPr>
      <w:r w:rsidRPr="005A3A98">
        <w:rPr>
          <w:rStyle w:val="markedcontent"/>
          <w:rFonts w:ascii="Arial" w:hAnsi="Arial" w:cs="Arial"/>
          <w:sz w:val="28"/>
          <w:szCs w:val="28"/>
        </w:rPr>
        <w:t>Association of</w:t>
      </w:r>
      <w:r w:rsidR="005A3A98" w:rsidRPr="005A3A98">
        <w:rPr>
          <w:rStyle w:val="markedcontent"/>
          <w:rFonts w:ascii="Arial" w:hAnsi="Arial" w:cs="Arial"/>
          <w:sz w:val="28"/>
          <w:szCs w:val="28"/>
        </w:rPr>
        <w:t xml:space="preserve"> Colleges and Universities, </w:t>
      </w:r>
      <w:r w:rsidRPr="005A3A98">
        <w:rPr>
          <w:rStyle w:val="markedcontent"/>
          <w:rFonts w:ascii="Arial" w:hAnsi="Arial" w:cs="Arial"/>
          <w:sz w:val="28"/>
          <w:szCs w:val="28"/>
        </w:rPr>
        <w:t xml:space="preserve">National Association of Independent </w:t>
      </w:r>
      <w:r w:rsidR="00EE5B25" w:rsidRPr="005A3A98">
        <w:rPr>
          <w:rStyle w:val="markedcontent"/>
          <w:rFonts w:ascii="Arial" w:hAnsi="Arial" w:cs="Arial"/>
          <w:sz w:val="28"/>
          <w:szCs w:val="28"/>
        </w:rPr>
        <w:t>Colleges and Universities</w:t>
      </w:r>
      <w:r w:rsidR="005A3A98" w:rsidRPr="005A3A98">
        <w:rPr>
          <w:rStyle w:val="markedcontent"/>
          <w:rFonts w:ascii="Arial" w:hAnsi="Arial" w:cs="Arial"/>
          <w:sz w:val="28"/>
          <w:szCs w:val="28"/>
        </w:rPr>
        <w:t xml:space="preserve">, </w:t>
      </w:r>
      <w:r w:rsidR="005A3A98" w:rsidRPr="005A3A98">
        <w:rPr>
          <w:rFonts w:ascii="Arial" w:hAnsi="Arial" w:cs="Arial"/>
          <w:sz w:val="28"/>
          <w:szCs w:val="28"/>
        </w:rPr>
        <w:t>National Association of Student Financial Aid Administrators</w:t>
      </w:r>
      <w:r w:rsidR="00E2523B">
        <w:rPr>
          <w:rStyle w:val="markedcontent"/>
          <w:rFonts w:ascii="Arial" w:hAnsi="Arial" w:cs="Arial"/>
          <w:sz w:val="28"/>
          <w:szCs w:val="28"/>
        </w:rPr>
        <w:t xml:space="preserve"> and </w:t>
      </w:r>
      <w:r w:rsidR="00EE5B25" w:rsidRPr="005A3A98">
        <w:rPr>
          <w:rStyle w:val="markedcontent"/>
          <w:rFonts w:ascii="Arial" w:hAnsi="Arial" w:cs="Arial"/>
          <w:sz w:val="28"/>
          <w:szCs w:val="28"/>
        </w:rPr>
        <w:t>Association</w:t>
      </w:r>
      <w:r w:rsidR="00E2523B">
        <w:rPr>
          <w:rStyle w:val="markedcontent"/>
          <w:rFonts w:ascii="Arial" w:hAnsi="Arial" w:cs="Arial"/>
          <w:sz w:val="28"/>
          <w:szCs w:val="28"/>
        </w:rPr>
        <w:t xml:space="preserve"> </w:t>
      </w:r>
      <w:r w:rsidR="00EE5B25" w:rsidRPr="005A3A98">
        <w:rPr>
          <w:rStyle w:val="markedcontent"/>
          <w:rFonts w:ascii="Arial" w:hAnsi="Arial" w:cs="Arial"/>
          <w:sz w:val="28"/>
          <w:szCs w:val="28"/>
        </w:rPr>
        <w:t>for Advancing Quality in Educator Preparation</w:t>
      </w:r>
      <w:r w:rsidR="00087EAF" w:rsidRPr="005A3A98">
        <w:rPr>
          <w:rStyle w:val="markedcontent"/>
          <w:rFonts w:ascii="Arial" w:hAnsi="Arial" w:cs="Arial"/>
          <w:sz w:val="28"/>
          <w:szCs w:val="28"/>
        </w:rPr>
        <w:t>.</w:t>
      </w:r>
    </w:p>
    <w:p w:rsidR="00EB7A55" w:rsidRPr="005A3A98" w:rsidRDefault="00EB7A55" w:rsidP="008D306C">
      <w:pPr>
        <w:spacing w:after="0" w:line="240" w:lineRule="auto"/>
        <w:ind w:left="1440" w:right="1440"/>
        <w:rPr>
          <w:rStyle w:val="markedcontent"/>
          <w:rFonts w:ascii="Arial" w:hAnsi="Arial" w:cs="Arial"/>
          <w:sz w:val="28"/>
          <w:szCs w:val="28"/>
        </w:rPr>
      </w:pPr>
    </w:p>
    <w:p w:rsidR="00EB7A55" w:rsidRPr="00FF1EA8" w:rsidRDefault="00EB7A55" w:rsidP="008D306C">
      <w:pPr>
        <w:spacing w:after="0" w:line="240" w:lineRule="auto"/>
        <w:ind w:left="1440" w:right="1440"/>
        <w:rPr>
          <w:rStyle w:val="markedcontent"/>
          <w:rFonts w:ascii="Arial" w:hAnsi="Arial" w:cs="Arial"/>
          <w:sz w:val="28"/>
          <w:szCs w:val="28"/>
        </w:rPr>
      </w:pPr>
    </w:p>
    <w:p w:rsidR="00EB6411" w:rsidRDefault="00EB6411">
      <w:pPr>
        <w:rPr>
          <w:rFonts w:ascii="Arial" w:hAnsi="Arial" w:cs="Arial"/>
          <w:sz w:val="28"/>
          <w:szCs w:val="28"/>
        </w:rPr>
      </w:pPr>
    </w:p>
    <w:sectPr w:rsidR="00EB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DisplayRegular">
    <w:panose1 w:val="00000000000000000000"/>
    <w:charset w:val="00"/>
    <w:family w:val="roman"/>
    <w:notTrueType/>
    <w:pitch w:val="default"/>
    <w:sig w:usb0="00000003" w:usb1="00000000" w:usb2="00000000" w:usb3="00000000" w:csb0="00000001" w:csb1="00000000"/>
  </w:font>
  <w:font w:name="Minion-Sem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DA"/>
    <w:rsid w:val="00087EAF"/>
    <w:rsid w:val="005A3A98"/>
    <w:rsid w:val="00727E53"/>
    <w:rsid w:val="008B6611"/>
    <w:rsid w:val="008D306C"/>
    <w:rsid w:val="00902685"/>
    <w:rsid w:val="00AE73F4"/>
    <w:rsid w:val="00CD35F7"/>
    <w:rsid w:val="00DC529B"/>
    <w:rsid w:val="00E2523B"/>
    <w:rsid w:val="00E73BDA"/>
    <w:rsid w:val="00EB6411"/>
    <w:rsid w:val="00EB7A55"/>
    <w:rsid w:val="00EE5B25"/>
    <w:rsid w:val="00F143A2"/>
    <w:rsid w:val="00F161A4"/>
    <w:rsid w:val="00F54E3C"/>
    <w:rsid w:val="00FF1EA8"/>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73BDA"/>
  </w:style>
  <w:style w:type="paragraph" w:styleId="BalloonText">
    <w:name w:val="Balloon Text"/>
    <w:basedOn w:val="Normal"/>
    <w:link w:val="BalloonTextChar"/>
    <w:uiPriority w:val="99"/>
    <w:semiHidden/>
    <w:unhideWhenUsed/>
    <w:rsid w:val="00EB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55"/>
    <w:rPr>
      <w:rFonts w:ascii="Tahoma" w:hAnsi="Tahoma" w:cs="Tahoma"/>
      <w:sz w:val="16"/>
      <w:szCs w:val="16"/>
    </w:rPr>
  </w:style>
  <w:style w:type="table" w:styleId="TableGrid">
    <w:name w:val="Table Grid"/>
    <w:basedOn w:val="TableNormal"/>
    <w:uiPriority w:val="59"/>
    <w:rsid w:val="00EB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55"/>
  </w:style>
  <w:style w:type="character" w:styleId="Hyperlink">
    <w:name w:val="Hyperlink"/>
    <w:basedOn w:val="DefaultParagraphFont"/>
    <w:uiPriority w:val="99"/>
    <w:unhideWhenUsed/>
    <w:rsid w:val="00AE7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73BDA"/>
  </w:style>
  <w:style w:type="paragraph" w:styleId="BalloonText">
    <w:name w:val="Balloon Text"/>
    <w:basedOn w:val="Normal"/>
    <w:link w:val="BalloonTextChar"/>
    <w:uiPriority w:val="99"/>
    <w:semiHidden/>
    <w:unhideWhenUsed/>
    <w:rsid w:val="00EB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55"/>
    <w:rPr>
      <w:rFonts w:ascii="Tahoma" w:hAnsi="Tahoma" w:cs="Tahoma"/>
      <w:sz w:val="16"/>
      <w:szCs w:val="16"/>
    </w:rPr>
  </w:style>
  <w:style w:type="table" w:styleId="TableGrid">
    <w:name w:val="Table Grid"/>
    <w:basedOn w:val="TableNormal"/>
    <w:uiPriority w:val="59"/>
    <w:rsid w:val="00EB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55"/>
  </w:style>
  <w:style w:type="character" w:styleId="Hyperlink">
    <w:name w:val="Hyperlink"/>
    <w:basedOn w:val="DefaultParagraphFont"/>
    <w:uiPriority w:val="99"/>
    <w:unhideWhenUsed/>
    <w:rsid w:val="00AE7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sche.org/institution/042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Bellamy</dc:creator>
  <cp:lastModifiedBy>Irving J. Ramirez</cp:lastModifiedBy>
  <cp:revision>3</cp:revision>
  <cp:lastPrinted>2022-07-14T20:13:00Z</cp:lastPrinted>
  <dcterms:created xsi:type="dcterms:W3CDTF">2022-07-14T20:14:00Z</dcterms:created>
  <dcterms:modified xsi:type="dcterms:W3CDTF">2022-07-15T13:48:00Z</dcterms:modified>
</cp:coreProperties>
</file>